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CSS | Web Animations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be3sosq4zcp" w:id="0"/>
      <w:bookmarkEnd w:id="0"/>
      <w:r w:rsidDel="00000000" w:rsidR="00000000" w:rsidRPr="00000000">
        <w:rPr>
          <w:rtl w:val="0"/>
        </w:rPr>
        <w:t xml:space="preserve">CSS Transition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731200" cy="1790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9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 CSS egenskaben </w:t>
      </w:r>
      <w:r w:rsidDel="00000000" w:rsidR="00000000" w:rsidRPr="00000000">
        <w:rPr>
          <w:b w:val="1"/>
          <w:rtl w:val="0"/>
        </w:rPr>
        <w:t xml:space="preserve">transition</w:t>
      </w:r>
      <w:r w:rsidDel="00000000" w:rsidR="00000000" w:rsidRPr="00000000">
        <w:rPr>
          <w:rtl w:val="0"/>
        </w:rPr>
        <w:t xml:space="preserve"> er det muligt at lave </w:t>
      </w:r>
      <w:r w:rsidDel="00000000" w:rsidR="00000000" w:rsidRPr="00000000">
        <w:rPr>
          <w:b w:val="1"/>
          <w:rtl w:val="0"/>
        </w:rPr>
        <w:t xml:space="preserve">glidende overgange</w:t>
      </w:r>
      <w:r w:rsidDel="00000000" w:rsidR="00000000" w:rsidRPr="00000000">
        <w:rPr>
          <w:rtl w:val="0"/>
        </w:rPr>
        <w:t xml:space="preserve"> mellem forskellige CSS values og dermed animere CSS stylingen på HTML-elementer.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En CSS transition kan oprettes mellem et HTML-elements normal-tilstand (A) og en midlertidig tilstand (B). Det kan fx være </w:t>
      </w:r>
      <w:r w:rsidDel="00000000" w:rsidR="00000000" w:rsidRPr="00000000">
        <w:rPr>
          <w:b w:val="1"/>
          <w:rtl w:val="0"/>
        </w:rPr>
        <w:t xml:space="preserve">hover-tilstanden</w:t>
      </w:r>
      <w:r w:rsidDel="00000000" w:rsidR="00000000" w:rsidRPr="00000000">
        <w:rPr>
          <w:rtl w:val="0"/>
        </w:rPr>
        <w:t xml:space="preserve">, der som bekendt aktiveres ved at holde musen hen over et element.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148263" cy="123147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07150" y="559775"/>
                          <a:ext cx="5148263" cy="1231478"/>
                          <a:chOff x="907150" y="559775"/>
                          <a:chExt cx="7794600" cy="1850400"/>
                        </a:xfrm>
                      </wpg:grpSpPr>
                      <wpg:grpSp>
                        <wpg:cNvGrpSpPr/>
                        <wpg:grpSpPr>
                          <a:xfrm>
                            <a:off x="907150" y="559775"/>
                            <a:ext cx="7794600" cy="1850400"/>
                            <a:chOff x="907150" y="559775"/>
                            <a:chExt cx="7794600" cy="1850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07150" y="559775"/>
                              <a:ext cx="2384400" cy="1850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" name="Shape 4"/>
                          <wps:spPr>
                            <a:xfrm>
                              <a:off x="1565225" y="605175"/>
                              <a:ext cx="1029900" cy="154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92"/>
                                    <w:vertAlign w:val="baseline"/>
                                  </w:rPr>
                                  <w:t xml:space="preserve">A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317350" y="559775"/>
                              <a:ext cx="2384400" cy="18504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6" name="Shape 6"/>
                          <wps:spPr>
                            <a:xfrm>
                              <a:off x="6975425" y="605175"/>
                              <a:ext cx="1029900" cy="154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92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301800" y="1446750"/>
                              <a:ext cx="849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triangl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8" name="Shape 8"/>
                          <wps:spPr>
                            <a:xfrm>
                              <a:off x="4320350" y="1234750"/>
                              <a:ext cx="925200" cy="40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transition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3547850" y="1427675"/>
                              <a:ext cx="6963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148263" cy="1231478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8263" cy="12314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Ved afviklingen af en traditionel hover-effekt bliver ændringerne tilføjet øjeblikkeligt, men ved at tilføje en transition kan ændringen ske over tid.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Overgangen vil være glidende og udregnes programmelt af browseren. Du skal bare angive en A og B-tilstand, så sker resten automatisk.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ageBreakBefore w:val="0"/>
        <w:rPr/>
      </w:pPr>
      <w:bookmarkStart w:colFirst="0" w:colLast="0" w:name="_o85nsm9u85ub" w:id="1"/>
      <w:bookmarkEnd w:id="1"/>
      <w:r w:rsidDel="00000000" w:rsidR="00000000" w:rsidRPr="00000000">
        <w:rPr>
          <w:rtl w:val="0"/>
        </w:rPr>
        <w:t xml:space="preserve">Syntaks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CSS transition er ikke en enkelt CSS property, men er en samling af fire properties, som hver har deres specifikke formål. Du kan se en oversigt over dem i tabellen herunder. Bemærk, at det er kun de to første properties, der er obligatoriske (gul). De sidste to er valgfri.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CSS transition har desuden en shorthand notation, der gør det muligt at udtrykke alle fire properties i den samme deklaration. Den er placeret nederst i tabellen.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Ind w:w="35.0" w:type="dxa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2805"/>
        <w:gridCol w:w="6075"/>
        <w:tblGridChange w:id="0">
          <w:tblGrid>
            <w:gridCol w:w="2805"/>
            <w:gridCol w:w="607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CSS property (egenskab)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CSS values (værdier)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transition-property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all | width | color | padding | etc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transition-duration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0.5s | .5s | 1s | 10s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transition-timing-function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ease | linear | ease-in | ease-out | ease-in-out | step-start | step-end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transition-delay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0.5s | .5s | 1s | 10s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transition (shorthand)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[transition-property][transition-duration] [transition-timing-function][transition-delay]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pageBreakBefore w:val="0"/>
        <w:rPr/>
      </w:pPr>
      <w:bookmarkStart w:colFirst="0" w:colLast="0" w:name="_qlu8djnysll" w:id="2"/>
      <w:bookmarkEnd w:id="2"/>
      <w:r w:rsidDel="00000000" w:rsidR="00000000" w:rsidRPr="00000000">
        <w:rPr>
          <w:rtl w:val="0"/>
        </w:rPr>
        <w:t xml:space="preserve">Forklaring</w:t>
      </w:r>
    </w:p>
    <w:p w:rsidR="00000000" w:rsidDel="00000000" w:rsidP="00000000" w:rsidRDefault="00000000" w:rsidRPr="00000000" w14:paraId="0000002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Her følger en kort forklaring på hver af de fire properties, som hører under CSS transition.</w:t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transition-property</w:t>
      </w:r>
      <w:r w:rsidDel="00000000" w:rsidR="00000000" w:rsidRPr="00000000">
        <w:rPr>
          <w:rtl w:val="0"/>
        </w:rPr>
        <w:t xml:space="preserve">: Angiver den eller de CSS egenskaber, der skal animeres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Consolas" w:cs="Consolas" w:eastAsia="Consolas" w:hAnsi="Consolas"/>
        </w:rPr>
      </w:pPr>
      <w:r w:rsidDel="00000000" w:rsidR="00000000" w:rsidRPr="00000000">
        <w:rPr>
          <w:b w:val="1"/>
          <w:rtl w:val="0"/>
        </w:rPr>
        <w:t xml:space="preserve">transition-duration</w:t>
      </w:r>
      <w:r w:rsidDel="00000000" w:rsidR="00000000" w:rsidRPr="00000000">
        <w:rPr>
          <w:rtl w:val="0"/>
        </w:rPr>
        <w:t xml:space="preserve">: Angiver animationens varighed målt i sekunder</w:t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Consolas" w:cs="Consolas" w:eastAsia="Consolas" w:hAnsi="Consolas"/>
        </w:rPr>
      </w:pPr>
      <w:r w:rsidDel="00000000" w:rsidR="00000000" w:rsidRPr="00000000">
        <w:rPr>
          <w:b w:val="1"/>
          <w:rtl w:val="0"/>
        </w:rPr>
        <w:t xml:space="preserve">transition-timing-function</w:t>
      </w:r>
      <w:r w:rsidDel="00000000" w:rsidR="00000000" w:rsidRPr="00000000">
        <w:rPr>
          <w:rtl w:val="0"/>
        </w:rPr>
        <w:t xml:space="preserve">: Angiver en stigende/faldende hastighed for animationen</w:t>
      </w:r>
    </w:p>
    <w:p w:rsidR="00000000" w:rsidDel="00000000" w:rsidP="00000000" w:rsidRDefault="00000000" w:rsidRPr="00000000" w14:paraId="00000027">
      <w:pPr>
        <w:pageBreakBefore w:val="0"/>
        <w:widowControl w:val="0"/>
        <w:numPr>
          <w:ilvl w:val="0"/>
          <w:numId w:val="1"/>
        </w:numPr>
        <w:spacing w:line="360" w:lineRule="auto"/>
        <w:ind w:left="720" w:hanging="360"/>
        <w:rPr>
          <w:rFonts w:ascii="Consolas" w:cs="Consolas" w:eastAsia="Consolas" w:hAnsi="Consolas"/>
        </w:rPr>
      </w:pPr>
      <w:r w:rsidDel="00000000" w:rsidR="00000000" w:rsidRPr="00000000">
        <w:rPr>
          <w:b w:val="1"/>
          <w:rtl w:val="0"/>
        </w:rPr>
        <w:t xml:space="preserve">transition-delay</w:t>
      </w:r>
      <w:r w:rsidDel="00000000" w:rsidR="00000000" w:rsidRPr="00000000">
        <w:rPr>
          <w:rtl w:val="0"/>
        </w:rPr>
        <w:t xml:space="preserve">: Angiver en forsinkelse på afviklingen af animationen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pageBreakBefore w:val="0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Hover-effekt uden transition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Indledningsvis kunne der siges meget mere om CSS transition, men alting er nemmere at forstå gennem nogle eksempler, så de kommer her.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tl w:val="0"/>
        </w:rPr>
        <w:t xml:space="preserve">erunder ser du  koden til en standard hover-effekt, der består af et div-element, der i sin normal-tilstand har baggrundsfarven rød, men når musen føres hen over det,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bliver elementet grønt.  Ændringen sker  øjeblikkeligt. 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HTML:</w:t>
      </w: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20.0" w:type="dxa"/>
        <w:tblBorders>
          <w:top w:color="f8c39f" w:space="0" w:sz="8" w:val="single"/>
          <w:left w:color="f8c39f" w:space="0" w:sz="8" w:val="single"/>
          <w:bottom w:color="f8c39f" w:space="0" w:sz="8" w:val="single"/>
          <w:right w:color="f8c39f" w:space="0" w:sz="8" w:val="single"/>
          <w:insideH w:color="f8c39f" w:space="0" w:sz="8" w:val="single"/>
          <w:insideV w:color="f8c39f" w:space="0" w:sz="8" w:val="single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blHeader w:val="0"/>
        </w:trPr>
        <w:tc>
          <w:tcPr>
            <w:shd w:fill="fbd8c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&lt;div class="box"&gt;&lt;/div&gt;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CSS:</w:t>
      </w: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Ind w:w="-10.0" w:type="dxa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8940"/>
        <w:tblGridChange w:id="0">
          <w:tblGrid>
            <w:gridCol w:w="8940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.box{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width: 200px;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height: 200px;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background-color: red;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.box:hover{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 background-color: green;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Hover-effekt med transition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Ved at tilføje en CSS transition kan ændringen ske over tid og dermed blive til en animation. 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eksemplet herunder udvides koden fra før, så den også indeholder to de to obligatoriske transition properties.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Den første er </w:t>
      </w:r>
      <w:r w:rsidDel="00000000" w:rsidR="00000000" w:rsidRPr="00000000">
        <w:rPr>
          <w:b w:val="1"/>
          <w:rtl w:val="0"/>
        </w:rPr>
        <w:t xml:space="preserve">transition-property,</w:t>
      </w:r>
      <w:r w:rsidDel="00000000" w:rsidR="00000000" w:rsidRPr="00000000">
        <w:rPr>
          <w:rtl w:val="0"/>
        </w:rPr>
        <w:t xml:space="preserve"> der bestemmer, hvilke properties, der skal animeres - i dette tilfælde background-color. Den anden er </w:t>
      </w:r>
      <w:r w:rsidDel="00000000" w:rsidR="00000000" w:rsidRPr="00000000">
        <w:rPr>
          <w:b w:val="1"/>
          <w:rtl w:val="0"/>
        </w:rPr>
        <w:t xml:space="preserve">transition-duration</w:t>
      </w:r>
      <w:r w:rsidDel="00000000" w:rsidR="00000000" w:rsidRPr="00000000">
        <w:rPr>
          <w:rtl w:val="0"/>
        </w:rPr>
        <w:t xml:space="preserve">, der bestemmer, hvor længe animationen skal vare - i dette tilfælde 1 sekund.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Det skal tilføjes, at man kan også benytte decimaltal, hvis man fx ønsker en varighed på under 1 sekund, fx 0.5s.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CSS:</w:t>
      </w:r>
      <w:r w:rsidDel="00000000" w:rsidR="00000000" w:rsidRPr="00000000">
        <w:rPr>
          <w:rtl w:val="0"/>
        </w:rPr>
      </w:r>
    </w:p>
    <w:tbl>
      <w:tblPr>
        <w:tblStyle w:val="Table4"/>
        <w:tblW w:w="8925.0" w:type="dxa"/>
        <w:jc w:val="left"/>
        <w:tblInd w:w="5.0" w:type="dxa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box{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  width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200px;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  height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rtl w:val="0"/>
              </w:rPr>
              <w:t xml:space="preserve">200px;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  background-color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red;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transition-property: background-color;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 transition-duration: 1s;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box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hover{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  background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green;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Style w:val="Heading2"/>
        <w:pageBreakBefore w:val="0"/>
        <w:spacing w:before="0" w:lineRule="auto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Normal syntaks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Ovenstående eksempel benytter longhand-syntaksen. Hvis du gør brug af alle fire properties, vil koden komme til at se ud som i eksemplet herunder. 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CSS:</w:t>
      </w:r>
      <w:r w:rsidDel="00000000" w:rsidR="00000000" w:rsidRPr="00000000">
        <w:rPr>
          <w:rtl w:val="0"/>
        </w:rPr>
      </w:r>
    </w:p>
    <w:tbl>
      <w:tblPr>
        <w:tblStyle w:val="Table5"/>
        <w:tblW w:w="8925.0" w:type="dxa"/>
        <w:jc w:val="left"/>
        <w:tblInd w:w="5.0" w:type="dxa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box {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property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all;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duration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0"/>
                <w:szCs w:val="20"/>
                <w:rtl w:val="0"/>
              </w:rPr>
              <w:t xml:space="preserve">1s;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timing</w:t>
            </w:r>
            <w:r w:rsidDel="00000000" w:rsidR="00000000" w:rsidRPr="00000000">
              <w:rPr>
                <w:rFonts w:ascii="Consolas" w:cs="Consolas" w:eastAsia="Consolas" w:hAnsi="Consolas"/>
                <w:sz w:val="20"/>
                <w:szCs w:val="20"/>
                <w:rtl w:val="0"/>
              </w:rPr>
              <w:t xml:space="preserve">-function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ease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20"/>
                <w:szCs w:val="20"/>
                <w:rtl w:val="0"/>
              </w:rPr>
              <w:t xml:space="preserve">in;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delay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20"/>
                <w:szCs w:val="20"/>
                <w:rtl w:val="0"/>
              </w:rPr>
              <w:t xml:space="preserve">1s;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0"/>
                <w:szCs w:val="2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pageBreakBefore w:val="0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Shorthand syntaks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Longhand-syntaksen er omfattende at skrive. Derfor er det også muligt at benytte en shorthand-syntaks, ligesom det er tilfældet med andre CSS properties som fx border og background. Det gør koden kortere og langt mere overskuelig, da ovenstående fire kodelinjer kan reduceres til en.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Shorthand-versionen af ovenstående kode kan udtrykkes på følgende måde: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CSS:</w:t>
      </w:r>
      <w:r w:rsidDel="00000000" w:rsidR="00000000" w:rsidRPr="00000000">
        <w:rPr>
          <w:rtl w:val="0"/>
        </w:rPr>
      </w:r>
    </w:p>
    <w:tbl>
      <w:tblPr>
        <w:tblStyle w:val="Table6"/>
        <w:tblW w:w="8940.0" w:type="dxa"/>
        <w:jc w:val="left"/>
        <w:tblInd w:w="-10.0" w:type="dxa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8940"/>
        <w:tblGridChange w:id="0">
          <w:tblGrid>
            <w:gridCol w:w="8940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box 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all 1s ease-in 1s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pageBreakBefore w:val="0"/>
        <w:rPr/>
      </w:pPr>
      <w:bookmarkStart w:colFirst="0" w:colLast="0" w:name="_c6sh2b2imac5" w:id="7"/>
      <w:bookmarkEnd w:id="7"/>
      <w:r w:rsidDel="00000000" w:rsidR="00000000" w:rsidRPr="00000000">
        <w:rPr>
          <w:rtl w:val="0"/>
        </w:rPr>
        <w:t xml:space="preserve">Sammenkæd flere </w:t>
      </w:r>
      <w:r w:rsidDel="00000000" w:rsidR="00000000" w:rsidRPr="00000000">
        <w:rPr>
          <w:rtl w:val="0"/>
        </w:rPr>
        <w:t xml:space="preserve">transitions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  <w:t xml:space="preserve">Du er ikke begrænset til at afvikle en enkelt transition. Du kan kommaseparere flere transitions, så de afvikles efter hinanden.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I eksemplet herunder ser du tre kommaseparerede transitions. Den første ændrer </w:t>
      </w:r>
      <w:r w:rsidDel="00000000" w:rsidR="00000000" w:rsidRPr="00000000">
        <w:rPr>
          <w:b w:val="1"/>
          <w:rtl w:val="0"/>
        </w:rPr>
        <w:t xml:space="preserve">background-color</w:t>
      </w:r>
      <w:r w:rsidDel="00000000" w:rsidR="00000000" w:rsidRPr="00000000">
        <w:rPr>
          <w:rtl w:val="0"/>
        </w:rPr>
        <w:t xml:space="preserve">. Den næste ændrer </w:t>
      </w:r>
      <w:r w:rsidDel="00000000" w:rsidR="00000000" w:rsidRPr="00000000">
        <w:rPr>
          <w:b w:val="1"/>
          <w:rtl w:val="0"/>
        </w:rPr>
        <w:t xml:space="preserve">border-radius</w:t>
      </w:r>
      <w:r w:rsidDel="00000000" w:rsidR="00000000" w:rsidRPr="00000000">
        <w:rPr>
          <w:rtl w:val="0"/>
        </w:rPr>
        <w:t xml:space="preserve"> og den sidste ændrer </w:t>
      </w:r>
      <w:r w:rsidDel="00000000" w:rsidR="00000000" w:rsidRPr="00000000">
        <w:rPr>
          <w:b w:val="1"/>
          <w:rtl w:val="0"/>
        </w:rPr>
        <w:t xml:space="preserve">border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Hver af de tre transitions har en </w:t>
      </w:r>
      <w:r w:rsidDel="00000000" w:rsidR="00000000" w:rsidRPr="00000000">
        <w:rPr>
          <w:b w:val="1"/>
          <w:rtl w:val="0"/>
        </w:rPr>
        <w:t xml:space="preserve">varighed på 1 sekund</w:t>
      </w:r>
      <w:r w:rsidDel="00000000" w:rsidR="00000000" w:rsidRPr="00000000">
        <w:rPr>
          <w:rtl w:val="0"/>
        </w:rPr>
        <w:t xml:space="preserve">, med de afvikles ikke samtidig, men én efter én. 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Background-color afvikles med det samme, men b</w:t>
      </w:r>
      <w:r w:rsidDel="00000000" w:rsidR="00000000" w:rsidRPr="00000000">
        <w:rPr>
          <w:rtl w:val="0"/>
        </w:rPr>
        <w:t xml:space="preserve">order-radius </w:t>
      </w:r>
      <w:r w:rsidDel="00000000" w:rsidR="00000000" w:rsidRPr="00000000">
        <w:rPr>
          <w:rtl w:val="0"/>
        </w:rPr>
        <w:t xml:space="preserve">har et </w:t>
      </w:r>
      <w:r w:rsidDel="00000000" w:rsidR="00000000" w:rsidRPr="00000000">
        <w:rPr>
          <w:b w:val="1"/>
          <w:rtl w:val="0"/>
        </w:rPr>
        <w:t xml:space="preserve">delay på 1 sekund</w:t>
      </w:r>
      <w:r w:rsidDel="00000000" w:rsidR="00000000" w:rsidRPr="00000000">
        <w:rPr>
          <w:rtl w:val="0"/>
        </w:rPr>
        <w:t xml:space="preserve"> og afvikles derfor først, når </w:t>
      </w:r>
      <w:r w:rsidDel="00000000" w:rsidR="00000000" w:rsidRPr="00000000">
        <w:rPr>
          <w:rtl w:val="0"/>
        </w:rPr>
        <w:t xml:space="preserve">background-color er færdig. Border </w:t>
      </w:r>
      <w:r w:rsidDel="00000000" w:rsidR="00000000" w:rsidRPr="00000000">
        <w:rPr>
          <w:rtl w:val="0"/>
        </w:rPr>
        <w:t xml:space="preserve">har et </w:t>
      </w:r>
      <w:r w:rsidDel="00000000" w:rsidR="00000000" w:rsidRPr="00000000">
        <w:rPr>
          <w:b w:val="1"/>
          <w:rtl w:val="0"/>
        </w:rPr>
        <w:t xml:space="preserve">delay på 2 sekunder</w:t>
      </w:r>
      <w:r w:rsidDel="00000000" w:rsidR="00000000" w:rsidRPr="00000000">
        <w:rPr>
          <w:rtl w:val="0"/>
        </w:rPr>
        <w:t xml:space="preserve"> og afvikles derfor først, når </w:t>
      </w:r>
      <w:r w:rsidDel="00000000" w:rsidR="00000000" w:rsidRPr="00000000">
        <w:rPr>
          <w:rtl w:val="0"/>
        </w:rPr>
        <w:t xml:space="preserve">border-radius </w:t>
      </w:r>
      <w:r w:rsidDel="00000000" w:rsidR="00000000" w:rsidRPr="00000000">
        <w:rPr>
          <w:rtl w:val="0"/>
        </w:rPr>
        <w:t xml:space="preserve">er færdig. Den samlede animation har derfor en varighed på 3 sekunder.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sz w:val="16"/>
          <w:szCs w:val="16"/>
          <w:rtl w:val="0"/>
        </w:rPr>
        <w:t xml:space="preserve">CSS:</w:t>
      </w:r>
      <w:r w:rsidDel="00000000" w:rsidR="00000000" w:rsidRPr="00000000">
        <w:rPr>
          <w:rtl w:val="0"/>
        </w:rPr>
      </w:r>
    </w:p>
    <w:tbl>
      <w:tblPr>
        <w:tblStyle w:val="Table7"/>
        <w:tblW w:w="8940.0" w:type="dxa"/>
        <w:jc w:val="left"/>
        <w:tblInd w:w="-10.0" w:type="dxa"/>
        <w:tblBorders>
          <w:top w:color="5cccfb" w:space="0" w:sz="8" w:val="single"/>
          <w:left w:color="5cccfb" w:space="0" w:sz="8" w:val="single"/>
          <w:bottom w:color="5cccfb" w:space="0" w:sz="8" w:val="single"/>
          <w:right w:color="5cccfb" w:space="0" w:sz="8" w:val="single"/>
          <w:insideH w:color="5cccfb" w:space="0" w:sz="8" w:val="single"/>
          <w:insideV w:color="5cccfb" w:space="0" w:sz="8" w:val="single"/>
        </w:tblBorders>
        <w:tblLayout w:type="fixed"/>
        <w:tblLook w:val="0600"/>
      </w:tblPr>
      <w:tblGrid>
        <w:gridCol w:w="8940"/>
        <w:tblGridChange w:id="0">
          <w:tblGrid>
            <w:gridCol w:w="8940"/>
          </w:tblGrid>
        </w:tblGridChange>
      </w:tblGrid>
      <w:tr>
        <w:trPr>
          <w:cantSplit w:val="0"/>
          <w:tblHeader w:val="0"/>
        </w:trPr>
        <w:tc>
          <w:tcPr>
            <w:shd w:fill="b3e7f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box {</w:t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666600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transition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background-color 1s,</w:t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6666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                border-radius 1s 1s,</w:t>
            </w:r>
          </w:p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rtl w:val="0"/>
              </w:rPr>
              <w:t xml:space="preserve">border 1s 2s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Måske spekulerer du på, hvordan der kendes forskel på </w:t>
      </w:r>
      <w:r w:rsidDel="00000000" w:rsidR="00000000" w:rsidRPr="00000000">
        <w:rPr>
          <w:b w:val="1"/>
          <w:rtl w:val="0"/>
        </w:rPr>
        <w:t xml:space="preserve">duration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delay</w:t>
      </w:r>
      <w:r w:rsidDel="00000000" w:rsidR="00000000" w:rsidRPr="00000000">
        <w:rPr>
          <w:rtl w:val="0"/>
        </w:rPr>
        <w:t xml:space="preserve">, der begge angives i sekunder. Reglen er, at den første tidsangivelse altid er duration.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pageBreakBefore w:val="0"/>
        <w:rPr/>
      </w:pPr>
      <w:bookmarkStart w:colFirst="0" w:colLast="0" w:name="_30j0zll" w:id="8"/>
      <w:bookmarkEnd w:id="8"/>
      <w:r w:rsidDel="00000000" w:rsidR="00000000" w:rsidRPr="00000000">
        <w:rPr>
          <w:rtl w:val="0"/>
        </w:rPr>
        <w:t xml:space="preserve">Ikke alle CSS properties kan animeres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CSS transition kan benyttes sammen med mange CSS properties, men ikke alle. Tommelfingerreglen er, at transitions kun kan forekomme mellem to tilstande, der begge kan udtrykkes i talværdier.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Du kan derfor oprette en transition mellem værdierne </w:t>
      </w:r>
      <w:r w:rsidDel="00000000" w:rsidR="00000000" w:rsidRPr="00000000">
        <w:rPr>
          <w:b w:val="1"/>
          <w:rtl w:val="0"/>
        </w:rPr>
        <w:t xml:space="preserve">100px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500px</w:t>
      </w:r>
      <w:r w:rsidDel="00000000" w:rsidR="00000000" w:rsidRPr="00000000">
        <w:rPr>
          <w:rtl w:val="0"/>
        </w:rPr>
        <w:t xml:space="preserve">, men ikke mellem </w:t>
      </w:r>
      <w:r w:rsidDel="00000000" w:rsidR="00000000" w:rsidRPr="00000000">
        <w:rPr>
          <w:b w:val="1"/>
          <w:rtl w:val="0"/>
        </w:rPr>
        <w:t xml:space="preserve">100px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og </w:t>
      </w:r>
      <w:r w:rsidDel="00000000" w:rsidR="00000000" w:rsidRPr="00000000">
        <w:rPr>
          <w:b w:val="1"/>
          <w:rtl w:val="0"/>
        </w:rPr>
        <w:t xml:space="preserve">auto</w:t>
      </w:r>
      <w:r w:rsidDel="00000000" w:rsidR="00000000" w:rsidRPr="00000000">
        <w:rPr>
          <w:rtl w:val="0"/>
        </w:rPr>
        <w:t xml:space="preserve">, da </w:t>
      </w:r>
      <w:r w:rsidDel="00000000" w:rsidR="00000000" w:rsidRPr="00000000">
        <w:rPr>
          <w:b w:val="1"/>
          <w:rtl w:val="0"/>
        </w:rPr>
        <w:t xml:space="preserve">auto</w:t>
      </w:r>
      <w:r w:rsidDel="00000000" w:rsidR="00000000" w:rsidRPr="00000000">
        <w:rPr>
          <w:rtl w:val="0"/>
        </w:rPr>
        <w:t xml:space="preserve"> ikke er et tal.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  <w:t xml:space="preserve">Af samme grund kan du heller ikke oprette en transition mellem </w:t>
      </w:r>
      <w:r w:rsidDel="00000000" w:rsidR="00000000" w:rsidRPr="00000000">
        <w:rPr>
          <w:b w:val="1"/>
          <w:rtl w:val="0"/>
        </w:rPr>
        <w:t xml:space="preserve">display: block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display: none</w:t>
      </w:r>
      <w:r w:rsidDel="00000000" w:rsidR="00000000" w:rsidRPr="00000000">
        <w:rPr>
          <w:rtl w:val="0"/>
        </w:rPr>
        <w:t xml:space="preserve">.  Hvis du vil animere synligheden, skal du finde en alternativ metode.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onsolas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8"/>
      <w:tblW w:w="9026.0" w:type="dxa"/>
      <w:jc w:val="left"/>
      <w:tblLayout w:type="fixed"/>
      <w:tblLook w:val="0600"/>
    </w:tblPr>
    <w:tblGrid>
      <w:gridCol w:w="4513"/>
      <w:gridCol w:w="4513"/>
      <w:tblGridChange w:id="0">
        <w:tblGrid>
          <w:gridCol w:w="4513"/>
          <w:gridCol w:w="4513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79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Fokuseret IT-talent til erhvervslivet</w:t>
          </w:r>
        </w:p>
        <w:p w:rsidR="00000000" w:rsidDel="00000000" w:rsidP="00000000" w:rsidRDefault="00000000" w:rsidRPr="00000000" w14:paraId="0000007B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Linje:  Visualisering</w:t>
          </w:r>
        </w:p>
        <w:p w:rsidR="00000000" w:rsidDel="00000000" w:rsidP="00000000" w:rsidRDefault="00000000" w:rsidRPr="00000000" w14:paraId="0000007C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Software</w:t>
          </w:r>
        </w:p>
        <w:p w:rsidR="00000000" w:rsidDel="00000000" w:rsidP="00000000" w:rsidRDefault="00000000" w:rsidRPr="00000000" w14:paraId="0000007D">
          <w:pPr>
            <w:pageBreakBefore w:val="0"/>
            <w:spacing w:line="276" w:lineRule="auto"/>
            <w:rPr>
              <w:rFonts w:ascii="Roboto" w:cs="Roboto" w:eastAsia="Roboto" w:hAnsi="Roboto"/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i 2017 af Torben  Colding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7E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3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4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5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6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7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